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190" w14:textId="5692BD07" w:rsidR="0013095D" w:rsidRPr="00731722" w:rsidRDefault="0013095D" w:rsidP="00B96E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17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prethodnu provjeru znanja i sposobnosti za prijam u službu na neodređeno vrijeme u Jedinstveni upravni odjel Općine Podgora na radno mjesto </w:t>
      </w:r>
      <w:r w:rsidR="007317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r w:rsidRPr="007317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Savjetnik za pravne poslove</w:t>
      </w:r>
    </w:p>
    <w:p w14:paraId="6375AEFC" w14:textId="77777777" w:rsidR="0013095D" w:rsidRPr="00731722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BECF2" w14:textId="19165F88" w:rsidR="0013095D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20. i 22. Zakona o službenicima i namještenicima u lokalnoj i područnoj (regionalnoj) samoupravi (Narodne novine, broj 86/08, 61/11, 04/18 i 112/19), Povjerenstvo za provedbu Javnog natječaja za prijam u službu u </w:t>
      </w:r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Jedinstveni upravni odjel Općine Podgora </w:t>
      </w:r>
      <w:r w:rsidRPr="00B96E88">
        <w:rPr>
          <w:rFonts w:ascii="Arial" w:eastAsia="Times New Roman" w:hAnsi="Arial" w:cs="Arial"/>
          <w:sz w:val="24"/>
          <w:szCs w:val="24"/>
          <w:lang w:eastAsia="hr-HR"/>
        </w:rPr>
        <w:t>na radno mjesto</w:t>
      </w:r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bookmarkStart w:id="0" w:name="_Hlk128742352"/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>Savjetnik za pravne poslove</w:t>
      </w:r>
      <w:bookmarkEnd w:id="0"/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, objavljenog u Narodnim novinama, broj </w:t>
      </w:r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/2023 od </w:t>
      </w:r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10. veljače </w:t>
      </w:r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2023. godine, putem nadležne službe za zapošljavanje Hrvatskog zavoda za zapošljavanje, na službenoj web stranici i oglasnoj ploči </w:t>
      </w:r>
      <w:r w:rsidR="00D70A20" w:rsidRPr="00B96E88">
        <w:rPr>
          <w:rFonts w:ascii="Arial" w:eastAsia="Times New Roman" w:hAnsi="Arial" w:cs="Arial"/>
          <w:sz w:val="24"/>
          <w:szCs w:val="24"/>
          <w:lang w:eastAsia="hr-HR"/>
        </w:rPr>
        <w:t>Općine Podgora</w:t>
      </w:r>
      <w:r w:rsidRPr="00B96E88">
        <w:rPr>
          <w:rFonts w:ascii="Arial" w:eastAsia="Times New Roman" w:hAnsi="Arial" w:cs="Arial"/>
          <w:sz w:val="24"/>
          <w:szCs w:val="24"/>
          <w:lang w:eastAsia="hr-HR"/>
        </w:rPr>
        <w:t>, objavljuje</w:t>
      </w:r>
    </w:p>
    <w:p w14:paraId="0A5B93FD" w14:textId="77777777" w:rsidR="00B96E88" w:rsidRPr="00B96E88" w:rsidRDefault="00B96E88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6DE6CA" w14:textId="33CE5CF7" w:rsidR="0013095D" w:rsidRPr="00B96E88" w:rsidRDefault="0013095D" w:rsidP="00B96E8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P</w:t>
      </w:r>
      <w:r w:rsid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O</w:t>
      </w:r>
      <w:r w:rsid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Z</w:t>
      </w:r>
      <w:r w:rsid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V</w:t>
      </w:r>
    </w:p>
    <w:p w14:paraId="663BBC48" w14:textId="70DFBE17" w:rsidR="0013095D" w:rsidRPr="00B96E88" w:rsidRDefault="0013095D" w:rsidP="00B96E8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na prethodnu provjeru znanja i sposobnosti za prijam u službu u </w:t>
      </w:r>
      <w:bookmarkStart w:id="1" w:name="_Hlk128742390"/>
      <w:r w:rsidR="008F03DF"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Jedinstveni upravni odjel Općine Podgora</w:t>
      </w:r>
      <w:bookmarkEnd w:id="1"/>
      <w:r w:rsidR="008F03DF"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na radno mjesto</w:t>
      </w:r>
      <w:r w:rsidR="008F03DF"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8F03DF"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Savjetnik za pravne poslove</w:t>
      </w:r>
    </w:p>
    <w:p w14:paraId="528C7A0E" w14:textId="77777777" w:rsidR="008F03DF" w:rsidRPr="00B96E88" w:rsidRDefault="008F03DF" w:rsidP="00B96E8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B2FB63" w14:textId="58E2E36B" w:rsidR="0013095D" w:rsidRPr="00B96E88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I. Povjerenstvo je utvrdilo listu kandidata prijavljenih na Javni natječaj za prijam u službu u </w:t>
      </w:r>
      <w:r w:rsidR="008F03DF" w:rsidRPr="00B96E88">
        <w:rPr>
          <w:rFonts w:ascii="Arial" w:eastAsia="Times New Roman" w:hAnsi="Arial" w:cs="Arial"/>
          <w:sz w:val="24"/>
          <w:szCs w:val="24"/>
          <w:lang w:eastAsia="hr-HR"/>
        </w:rPr>
        <w:t>Jedinstveni upravni odjel Općine Podgora</w:t>
      </w:r>
      <w:r w:rsidR="008F03DF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koji ispunjavaju formalne uvjete propisane natječajem za radno mjesto</w:t>
      </w:r>
      <w:r w:rsidR="008F03DF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Savjetnik za pravne poslove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kako slijedi:</w:t>
      </w:r>
    </w:p>
    <w:p w14:paraId="133B52E5" w14:textId="77777777" w:rsidR="00731722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EA7E9F" w14:textId="3A2E71BD" w:rsidR="008F03DF" w:rsidRPr="00B96E88" w:rsidRDefault="008F03DF" w:rsidP="00B96E8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DANIELA ŠALINOVIĆ RADIĆ</w:t>
      </w:r>
    </w:p>
    <w:p w14:paraId="22CE2FD6" w14:textId="2AA24DD3" w:rsidR="008F03DF" w:rsidRPr="00B96E88" w:rsidRDefault="008F03DF" w:rsidP="00B96E8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FRANJO MAMUŽIĆ</w:t>
      </w:r>
    </w:p>
    <w:p w14:paraId="2F9066B4" w14:textId="58F46CAA" w:rsidR="008F03DF" w:rsidRPr="00B96E88" w:rsidRDefault="008F03DF" w:rsidP="00B96E8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LEJLA FAZLAGIĆ</w:t>
      </w:r>
    </w:p>
    <w:p w14:paraId="33F9A0E8" w14:textId="77777777" w:rsidR="008F03DF" w:rsidRPr="00B96E88" w:rsidRDefault="008F03DF" w:rsidP="00B96E88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4D21DC" w14:textId="4B61CE56" w:rsidR="0013095D" w:rsidRPr="00B96E88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II. Kandidati navedeni u </w:t>
      </w:r>
      <w:r w:rsidR="008F03DF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točki 1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. ovoga Poziva, pozivaju se na pisano testiranje i intervju koji će se održati </w:t>
      </w:r>
      <w:r w:rsidR="00731722"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14. ožujka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2023.</w:t>
      </w:r>
      <w:r w:rsidR="00731722"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godine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(</w:t>
      </w:r>
      <w:r w:rsidR="00731722"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utorak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) u 8:</w:t>
      </w:r>
      <w:r w:rsidR="00731722"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0 sati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u prostorijama </w:t>
      </w:r>
      <w:r w:rsidR="00731722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Općine Podgora, Andrije Kačića Miošića 2, Podgora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5418BFA0" w14:textId="02359050" w:rsidR="0013095D" w:rsidRPr="00B96E88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I</w:t>
      </w:r>
      <w:r w:rsidR="00731722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II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. Kandidati koji pristupe testiranju, obvezni su predočiti identifikacijsku ispravu.</w:t>
      </w:r>
    </w:p>
    <w:p w14:paraId="5BEE0316" w14:textId="77777777" w:rsidR="00731722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7C3AA2" w14:textId="54F93B69" w:rsidR="0013095D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I</w:t>
      </w:r>
      <w:r w:rsidR="0013095D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V. Pisano testiranje trajat će </w:t>
      </w: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>60</w:t>
      </w:r>
      <w:r w:rsidR="0013095D"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 minuta.</w:t>
      </w:r>
    </w:p>
    <w:p w14:paraId="78690282" w14:textId="77777777" w:rsidR="00731722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CE24D11" w14:textId="3AFFBDC7" w:rsidR="0013095D" w:rsidRPr="00B96E88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</w:pP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V. Smatra se da</w:t>
      </w:r>
      <w:r w:rsidR="00731722"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hr-HR"/>
        </w:rPr>
        <w:t>je kandidat koji ne pristupi pisanome testiranju, povukao prijavu na natječaj.</w:t>
      </w:r>
    </w:p>
    <w:p w14:paraId="55E7DC6A" w14:textId="77777777" w:rsidR="00731722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598EF08" w14:textId="2D16F43E" w:rsidR="00731722" w:rsidRPr="00B96E88" w:rsidRDefault="0013095D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r-HR"/>
        </w:rPr>
        <w:t xml:space="preserve">VI. </w:t>
      </w:r>
      <w:r w:rsidR="00731722" w:rsidRPr="00B96E8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Kandidatima će biti podijeljen pisani test od </w:t>
      </w:r>
      <w:r w:rsidR="00731722" w:rsidRPr="00B96E88">
        <w:rPr>
          <w:rFonts w:ascii="Arial" w:eastAsia="Times New Roman" w:hAnsi="Arial" w:cs="Arial"/>
          <w:bCs/>
          <w:sz w:val="24"/>
          <w:szCs w:val="24"/>
          <w:lang w:eastAsia="hr-HR"/>
        </w:rPr>
        <w:t>10</w:t>
      </w:r>
      <w:r w:rsidR="00731722" w:rsidRPr="00B96E8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pitanja koji u sebi sadržava pitanja iz </w:t>
      </w:r>
      <w:r w:rsidR="00B96E8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dolje</w:t>
      </w:r>
      <w:r w:rsidR="00731722" w:rsidRPr="00B96E88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navedenog popisa literature.</w:t>
      </w:r>
    </w:p>
    <w:p w14:paraId="4716E930" w14:textId="77777777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Pisana provjera znanja ukupno traje </w:t>
      </w:r>
      <w:r w:rsidRPr="00731722">
        <w:rPr>
          <w:rFonts w:ascii="Arial" w:eastAsia="Times New Roman" w:hAnsi="Arial" w:cs="Arial"/>
          <w:sz w:val="24"/>
          <w:szCs w:val="24"/>
          <w:lang w:eastAsia="hr-HR"/>
        </w:rPr>
        <w:t>60</w:t>
      </w:r>
      <w:r w:rsidRPr="007317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minuta.</w:t>
      </w:r>
    </w:p>
    <w:p w14:paraId="54FCA3C3" w14:textId="77777777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sz w:val="24"/>
          <w:szCs w:val="24"/>
          <w:lang w:eastAsia="hr-HR"/>
        </w:rPr>
        <w:t>Za svaki točan odgovor dodjeljuje se 1 bod, (maksimalan broj bodova na pisanom testu je 10), s tim da se točan odgovor ocjenjuje cijelim brojem (1 bod), dok netočan odgovor ne nosi  ni jedan bod.</w:t>
      </w:r>
    </w:p>
    <w:p w14:paraId="7B235B0F" w14:textId="4CE9601E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Smatra se da je kandidat zadovoljio na testiranju ako je na pisanom dijelu provjere znanja ostvario najmanje 50% bodova provjere znanja i sposobnosti na provedenom testiranju, te se sa njim provodi</w:t>
      </w:r>
      <w:r w:rsidRPr="00B96E8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B96E8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usmeni</w:t>
      </w:r>
      <w:r w:rsidRPr="0073172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intervju</w:t>
      </w:r>
      <w:r w:rsidRPr="00B96E8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koji će započeti isti dan u 10,00 sati</w:t>
      </w:r>
      <w:r w:rsidRPr="007317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6090D346" w14:textId="782317FD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sz w:val="24"/>
          <w:szCs w:val="24"/>
          <w:lang w:eastAsia="hr-HR"/>
        </w:rPr>
        <w:t>Povjerenstvo kroz razgovor s kandidatima utvrđuje snalažljivost, komunikativnost, kreativnost, interese i motivaciju kandidata za rad u službi, kao i razradu odgovora kandidata sa pisanog dijela ispita. Rezultati intervjua se boduju na isti način kao i pisana provjera znanja, odnosno od 1 do 10 bodova.</w:t>
      </w:r>
    </w:p>
    <w:p w14:paraId="2F060AC8" w14:textId="77777777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Nakon provedenog testiranja i intervjua Povjerenstvo utvrđuje rang listu kandidata prema ukupnom broju bodova ostvarenih na testiranju i intervjuu.</w:t>
      </w:r>
    </w:p>
    <w:p w14:paraId="7538A4C7" w14:textId="77777777" w:rsidR="00B96E88" w:rsidRDefault="00B96E88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03C86E" w14:textId="0ED13BDC" w:rsidR="0013095D" w:rsidRDefault="0013095D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VII. Pravni izvori za pripremanje kandidata za pisano testiranje za prijam u službu u </w:t>
      </w:r>
      <w:r w:rsidR="00731722" w:rsidRPr="00B96E88">
        <w:rPr>
          <w:rFonts w:ascii="Arial" w:eastAsia="Times New Roman" w:hAnsi="Arial" w:cs="Arial"/>
          <w:sz w:val="24"/>
          <w:szCs w:val="24"/>
          <w:lang w:eastAsia="hr-HR"/>
        </w:rPr>
        <w:t>Jedinstveni upravni odjel Općine Podgora na radno mjesto – Savjetnik za pravne poslove</w:t>
      </w:r>
      <w:r w:rsidR="00731722"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96E88">
        <w:rPr>
          <w:rFonts w:ascii="Arial" w:eastAsia="Times New Roman" w:hAnsi="Arial" w:cs="Arial"/>
          <w:sz w:val="24"/>
          <w:szCs w:val="24"/>
          <w:lang w:eastAsia="hr-HR"/>
        </w:rPr>
        <w:t>su sljedeći:</w:t>
      </w:r>
    </w:p>
    <w:p w14:paraId="0BF22F62" w14:textId="77777777" w:rsidR="00B96E88" w:rsidRPr="00B96E88" w:rsidRDefault="00B96E88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333A09" w14:textId="77777777" w:rsidR="00731722" w:rsidRPr="00731722" w:rsidRDefault="00731722" w:rsidP="00B96E8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bookmarkStart w:id="2" w:name="_Hlk506897957"/>
      <w:r w:rsidRPr="00731722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Statut Općine Podgora </w:t>
      </w:r>
    </w:p>
    <w:p w14:paraId="74462363" w14:textId="70A331F8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SimSun" w:hAnsi="Arial" w:cs="Arial"/>
          <w:sz w:val="24"/>
          <w:szCs w:val="24"/>
          <w:lang w:eastAsia="hr-HR"/>
        </w:rPr>
        <w:t xml:space="preserve">(„Glasnik“, službeno glasilo Općine Podgora </w:t>
      </w:r>
      <w:r w:rsidRPr="00731722">
        <w:rPr>
          <w:rFonts w:ascii="Arial" w:eastAsia="Times New Roman" w:hAnsi="Arial" w:cs="Arial"/>
          <w:sz w:val="24"/>
          <w:szCs w:val="24"/>
          <w:lang w:eastAsia="hr-HR"/>
        </w:rPr>
        <w:t>broj: 05/09, 09/09, 03/13, 03/15, 04/18, 05/20 - pročišćeni tekst, 14/20, 04/21)</w:t>
      </w:r>
    </w:p>
    <w:p w14:paraId="41C88F0A" w14:textId="77777777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24590F" w14:textId="77777777" w:rsidR="00731722" w:rsidRPr="00731722" w:rsidRDefault="00731722" w:rsidP="00B96E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Zakon o službenicima i namještenicima u lokalnoj i područnoj (regionalnoj) samoupravi</w:t>
      </w:r>
    </w:p>
    <w:p w14:paraId="7B7979E6" w14:textId="77777777" w:rsidR="00731722" w:rsidRPr="00731722" w:rsidRDefault="00731722" w:rsidP="00B96E8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sz w:val="24"/>
          <w:szCs w:val="24"/>
          <w:lang w:eastAsia="hr-HR"/>
        </w:rPr>
        <w:t xml:space="preserve">(„Narodne novine“ broj </w:t>
      </w:r>
      <w:bookmarkStart w:id="3" w:name="_Hlk8713825"/>
      <w:r w:rsidRPr="00731722">
        <w:rPr>
          <w:rFonts w:ascii="Arial" w:eastAsia="Times New Roman" w:hAnsi="Arial" w:cs="Arial"/>
          <w:sz w:val="24"/>
          <w:szCs w:val="24"/>
          <w:lang w:eastAsia="hr-HR"/>
        </w:rPr>
        <w:t>86/08, 61/11, 4/18</w:t>
      </w:r>
      <w:bookmarkEnd w:id="3"/>
      <w:r w:rsidRPr="00731722">
        <w:rPr>
          <w:rFonts w:ascii="Arial" w:eastAsia="Times New Roman" w:hAnsi="Arial" w:cs="Arial"/>
          <w:sz w:val="24"/>
          <w:szCs w:val="24"/>
          <w:lang w:eastAsia="hr-HR"/>
        </w:rPr>
        <w:t xml:space="preserve"> i 112/19)</w:t>
      </w:r>
    </w:p>
    <w:p w14:paraId="7E466A81" w14:textId="77777777" w:rsidR="00731722" w:rsidRPr="00731722" w:rsidRDefault="00731722" w:rsidP="00B96E8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70E41A" w14:textId="77777777" w:rsidR="00731722" w:rsidRPr="00731722" w:rsidRDefault="00731722" w:rsidP="00B96E8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Zakon o lokalnoj i područnoj (regionalnoj) samoupravi</w:t>
      </w:r>
    </w:p>
    <w:p w14:paraId="615486B5" w14:textId="77777777" w:rsidR="00B96E88" w:rsidRPr="00731722" w:rsidRDefault="00731722" w:rsidP="00B96E88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>(„Narodne novine“ bro</w:t>
      </w:r>
      <w:r w:rsidR="00B96E88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 xml:space="preserve">j </w:t>
      </w:r>
      <w:hyperlink r:id="rId5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33/01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6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60/01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7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129/05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8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109/07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9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125/08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0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36/09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1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36/09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2" w:tgtFrame="_blank" w:history="1">
        <w:r w:rsidR="00B96E88"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150/11</w:t>
        </w:r>
      </w:hyperlink>
      <w:r w:rsidR="00B96E88"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</w:p>
    <w:p w14:paraId="19C2CF25" w14:textId="39103BC6" w:rsidR="00731722" w:rsidRPr="00731722" w:rsidRDefault="00B96E88" w:rsidP="00B96E88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hr-HR"/>
        </w:rPr>
      </w:pPr>
      <w:hyperlink r:id="rId13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144/12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4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19/13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5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137/15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6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123/17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7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98/19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, </w:t>
      </w:r>
      <w:hyperlink r:id="rId18" w:tgtFrame="_blank" w:history="1">
        <w:r w:rsidRPr="00731722">
          <w:rPr>
            <w:rFonts w:ascii="Arial" w:eastAsia="Times New Roman" w:hAnsi="Arial" w:cs="Arial"/>
            <w:bCs/>
            <w:sz w:val="24"/>
            <w:szCs w:val="24"/>
            <w:lang w:eastAsia="hr-HR"/>
          </w:rPr>
          <w:t>144/20</w:t>
        </w:r>
      </w:hyperlink>
      <w:r w:rsidRPr="00731722">
        <w:rPr>
          <w:rFonts w:ascii="Arial" w:eastAsia="Times New Roman" w:hAnsi="Arial" w:cs="Arial"/>
          <w:bCs/>
          <w:sz w:val="24"/>
          <w:szCs w:val="24"/>
          <w:lang w:eastAsia="hr-HR"/>
        </w:rPr>
        <w:t>)</w:t>
      </w:r>
    </w:p>
    <w:p w14:paraId="6191840C" w14:textId="77777777" w:rsidR="00731722" w:rsidRPr="00731722" w:rsidRDefault="00731722" w:rsidP="00B96E8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683B6BF" w14:textId="77777777" w:rsidR="00731722" w:rsidRPr="00731722" w:rsidRDefault="00731722" w:rsidP="00B96E8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Zakon o općem upravnom postupku</w:t>
      </w:r>
    </w:p>
    <w:p w14:paraId="260696EE" w14:textId="77777777" w:rsidR="00731722" w:rsidRPr="00731722" w:rsidRDefault="00731722" w:rsidP="00B96E8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 xml:space="preserve">(„Narodne novine“ broj </w:t>
      </w:r>
      <w:r w:rsidRPr="00731722">
        <w:rPr>
          <w:rFonts w:ascii="Arial" w:eastAsia="Times New Roman" w:hAnsi="Arial" w:cs="Arial"/>
          <w:sz w:val="24"/>
          <w:szCs w:val="24"/>
          <w:lang w:eastAsia="hr-HR"/>
        </w:rPr>
        <w:t>47/09 i 110/21)</w:t>
      </w:r>
    </w:p>
    <w:p w14:paraId="65D8DE42" w14:textId="77777777" w:rsidR="00731722" w:rsidRPr="00731722" w:rsidRDefault="00731722" w:rsidP="00B96E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731722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</w:t>
      </w:r>
    </w:p>
    <w:bookmarkEnd w:id="2"/>
    <w:p w14:paraId="4ADCCB2B" w14:textId="136B1F85" w:rsidR="00731722" w:rsidRPr="00B96E88" w:rsidRDefault="00731722" w:rsidP="00B96E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A4DE34" w14:textId="0F3AD22F" w:rsidR="00731722" w:rsidRDefault="00731722" w:rsidP="00B96E8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96E88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POVJERENSTVO ZA PROVEDBU NATJEČAJA</w:t>
      </w:r>
    </w:p>
    <w:p w14:paraId="5E9E0613" w14:textId="6E323F01" w:rsidR="0097494B" w:rsidRDefault="0097494B" w:rsidP="00B96E8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Predsjednik:</w:t>
      </w:r>
    </w:p>
    <w:p w14:paraId="18A80692" w14:textId="4CDD9F21" w:rsidR="0097494B" w:rsidRPr="00B96E88" w:rsidRDefault="0097494B" w:rsidP="00B96E8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Žarko Pejić</w:t>
      </w:r>
    </w:p>
    <w:p w14:paraId="532F999E" w14:textId="77777777" w:rsidR="005B2137" w:rsidRDefault="005B2137" w:rsidP="00B96E88">
      <w:pPr>
        <w:spacing w:after="0" w:line="240" w:lineRule="auto"/>
        <w:jc w:val="right"/>
      </w:pPr>
    </w:p>
    <w:sectPr w:rsidR="005B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716"/>
    <w:multiLevelType w:val="multilevel"/>
    <w:tmpl w:val="255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F66FF"/>
    <w:multiLevelType w:val="multilevel"/>
    <w:tmpl w:val="040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2604">
    <w:abstractNumId w:val="0"/>
  </w:num>
  <w:num w:numId="2" w16cid:durableId="2050252997">
    <w:abstractNumId w:val="3"/>
  </w:num>
  <w:num w:numId="3" w16cid:durableId="1988391473">
    <w:abstractNumId w:val="2"/>
  </w:num>
  <w:num w:numId="4" w16cid:durableId="164469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D"/>
    <w:rsid w:val="000D7D92"/>
    <w:rsid w:val="0013095D"/>
    <w:rsid w:val="005B2137"/>
    <w:rsid w:val="00731722"/>
    <w:rsid w:val="008F03DF"/>
    <w:rsid w:val="0097494B"/>
    <w:rsid w:val="00B66014"/>
    <w:rsid w:val="00B96E88"/>
    <w:rsid w:val="00D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A3"/>
  <w15:chartTrackingRefBased/>
  <w15:docId w15:val="{8643D805-CD3C-44DA-BB5C-BD1970D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Pejić</dc:creator>
  <cp:keywords/>
  <dc:description/>
  <cp:lastModifiedBy>Žarko Pejić</cp:lastModifiedBy>
  <cp:revision>6</cp:revision>
  <cp:lastPrinted>2023-03-03T12:46:00Z</cp:lastPrinted>
  <dcterms:created xsi:type="dcterms:W3CDTF">2023-03-02T11:37:00Z</dcterms:created>
  <dcterms:modified xsi:type="dcterms:W3CDTF">2023-03-03T13:07:00Z</dcterms:modified>
</cp:coreProperties>
</file>